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AA7D" w14:textId="0505FEE0" w:rsidR="00921FE3" w:rsidRPr="005061DC" w:rsidRDefault="005061DC" w:rsidP="001D5F6F">
      <w:pPr>
        <w:spacing w:after="120" w:line="360" w:lineRule="auto"/>
        <w:ind w:left="567" w:right="1695"/>
        <w:rPr>
          <w:rFonts w:ascii="Arial" w:hAnsi="Arial" w:cs="Arial"/>
          <w:b/>
          <w:bCs/>
          <w:sz w:val="28"/>
          <w:szCs w:val="28"/>
        </w:rPr>
      </w:pPr>
      <w:r>
        <w:rPr>
          <w:rStyle w:val="Fett"/>
          <w:rFonts w:asciiTheme="minorHAnsi" w:hAnsiTheme="minorHAnsi"/>
          <w:sz w:val="28"/>
        </w:rPr>
        <w:t>Nowy podwójny sprężynowy wał pierścieniowy AMAZONE DFW 580 dla maszyn zawieszanych</w:t>
      </w:r>
    </w:p>
    <w:p w14:paraId="3DB13CF0" w14:textId="09CF2C2C" w:rsidR="004A4E71" w:rsidRDefault="004A4E71" w:rsidP="00921FE3">
      <w:pPr>
        <w:spacing w:after="120" w:line="360" w:lineRule="auto"/>
        <w:ind w:left="567" w:right="1695"/>
        <w:rPr>
          <w:rFonts w:ascii="Arial" w:eastAsia="Arial" w:hAnsi="Arial" w:cs="Arial"/>
        </w:rPr>
      </w:pPr>
    </w:p>
    <w:p w14:paraId="04603C46" w14:textId="4CFF881D" w:rsidR="005061DC" w:rsidRPr="005061DC" w:rsidRDefault="005061DC" w:rsidP="005061DC">
      <w:pPr>
        <w:spacing w:after="120" w:line="360" w:lineRule="auto"/>
        <w:ind w:left="567" w:right="1695"/>
        <w:rPr>
          <w:rFonts w:ascii="Arial" w:eastAsia="Arial" w:hAnsi="Arial" w:cs="Arial"/>
        </w:rPr>
      </w:pPr>
      <w:r>
        <w:rPr>
          <w:rFonts w:ascii="Arial" w:hAnsi="Arial"/>
        </w:rPr>
        <w:t>Wprowadzając podwójny wał pierścieniowy DFW 580, firma AMAZONE rozszerza ofertę wałów uprawowych do kultywatorów zawieszanych Cenio i Cenius oraz do zawieszanych kompaktowych bron talerzowych Catros. Dzięki otwartej konstrukcji i rozstawowi pierścieni wynoszącemu 280 mm nowy wał nadaje się do szerokiego zakresu zastosowań i zapewnia wysoką niezawodność pracy zarówno na glebach piaszczystych, jak i gliniastych.</w:t>
      </w:r>
    </w:p>
    <w:p w14:paraId="7AF50EE3" w14:textId="266B606F" w:rsidR="005061DC" w:rsidRPr="005061DC" w:rsidRDefault="005061DC" w:rsidP="005061DC">
      <w:pPr>
        <w:spacing w:after="120" w:line="360" w:lineRule="auto"/>
        <w:ind w:left="567" w:right="1695"/>
        <w:rPr>
          <w:rFonts w:ascii="Arial" w:eastAsia="Arial" w:hAnsi="Arial" w:cs="Arial"/>
        </w:rPr>
      </w:pPr>
      <w:r>
        <w:rPr>
          <w:rFonts w:ascii="Arial" w:hAnsi="Arial"/>
        </w:rPr>
        <w:t xml:space="preserve">Model DFW 580 dzięki pierścieniom o ciągłej sprężystości, zapewnia wysoki udział drobnej frakcji gleby, a jednocześnie gwarantuje dobre zagęszczanie na luźnej powierzchni gruntu. Dzięki niewielkiej średnicy rury wału wynoszącej 140 mm oraz średnicy zewnętrznej wynoszącej 580 mm podwójny walec pierścieniowy zapewnia bardzo dobrą przejezdność na podłożach piaszczystych. Przesunięte rozmieszczenie pierścieni zapewnia przy tym niezawodny napęd własny wału. To połączenie sprawia, że podwójny sprężynowy wał pierścieniowy jest wyjątkowo niezawodny w działaniu, zwłaszcza na lekkich glebach. </w:t>
      </w:r>
    </w:p>
    <w:p w14:paraId="264902EB" w14:textId="0DF0B1F7" w:rsidR="005061DC" w:rsidRPr="005061DC" w:rsidRDefault="005061DC" w:rsidP="005061DC">
      <w:pPr>
        <w:spacing w:after="120" w:line="360" w:lineRule="auto"/>
        <w:ind w:left="567" w:right="1695"/>
        <w:rPr>
          <w:rFonts w:ascii="Arial" w:eastAsia="Arial" w:hAnsi="Arial" w:cs="Arial"/>
        </w:rPr>
      </w:pPr>
      <w:r>
        <w:rPr>
          <w:rFonts w:ascii="Arial" w:hAnsi="Arial"/>
        </w:rPr>
        <w:t xml:space="preserve">Zamknięte pierścienie sprężynowe mają tę zaletę, istotną zwłaszcza w przypadku sprzętu zawieszanego, że nie zapychają się ziemią, dzięki czemu nie zwiększa się masa wału. Ponadto zamknięte pierścienie ograniczają roznoszenie gleby i nasion chwastów, przyczyniając się tym samym do poprawy higieny pola podczas uprawy wielu pól. Kolejną zaletą jest bardzo dobra skuteczność czyszczenia, którą zapewnia ciągłą sprężystość pierścieni. Dzięki temu może być niezawodnie stosowany nawet w wilgotnych i kleistych warunkach gruntowych. </w:t>
      </w:r>
    </w:p>
    <w:p w14:paraId="5A01ACF0" w14:textId="159CE08C" w:rsidR="005061DC" w:rsidRDefault="005061DC" w:rsidP="005061DC">
      <w:pPr>
        <w:spacing w:after="120" w:line="360" w:lineRule="auto"/>
        <w:ind w:left="567" w:right="1695"/>
        <w:rPr>
          <w:rFonts w:ascii="Arial" w:eastAsia="Arial" w:hAnsi="Arial" w:cs="Arial"/>
        </w:rPr>
      </w:pPr>
      <w:r>
        <w:rPr>
          <w:rFonts w:ascii="Arial" w:hAnsi="Arial"/>
        </w:rPr>
        <w:t xml:space="preserve">Opcjonalny system zagarniaczy zapewnia jeszcze lepsze tworzenie struktury gruzełkowatej (kruszenie) i jej dokładniejsze równanie powierzchni. Jednocześnie system zagarniaczy wspomaga skuteczniejsze zwalczanie </w:t>
      </w:r>
      <w:r>
        <w:rPr>
          <w:rFonts w:ascii="Arial" w:hAnsi="Arial"/>
        </w:rPr>
        <w:lastRenderedPageBreak/>
        <w:t>chwastów poprzez odsłanianie wewnątrz wschodzących zbóż i układanie ich na powierzchni gleby, gdzie mogą wyschnąć.</w:t>
      </w:r>
    </w:p>
    <w:p w14:paraId="49A395F9" w14:textId="77777777" w:rsidR="00E52C13" w:rsidRPr="005061DC" w:rsidRDefault="00E52C13" w:rsidP="005061DC">
      <w:pPr>
        <w:spacing w:after="120" w:line="360" w:lineRule="auto"/>
        <w:ind w:left="567" w:right="1695"/>
        <w:rPr>
          <w:rFonts w:ascii="Arial" w:eastAsia="Arial" w:hAnsi="Arial" w:cs="Arial"/>
        </w:rPr>
      </w:pPr>
    </w:p>
    <w:p w14:paraId="53301F6C" w14:textId="6DFA85BD" w:rsidR="00C44956" w:rsidRDefault="00C44956">
      <w:pPr>
        <w:rPr>
          <w:rFonts w:ascii="Arial" w:eastAsia="Arial" w:hAnsi="Arial" w:cs="Arial"/>
          <w:b/>
          <w:bCs/>
        </w:rPr>
      </w:pPr>
    </w:p>
    <w:p w14:paraId="0D545C8A" w14:textId="290580EF" w:rsidR="005061DC" w:rsidRPr="005061DC" w:rsidRDefault="005061DC" w:rsidP="005061DC">
      <w:pPr>
        <w:spacing w:after="120" w:line="360" w:lineRule="auto"/>
        <w:ind w:left="567" w:right="1695"/>
        <w:rPr>
          <w:rFonts w:ascii="Arial" w:eastAsia="Arial" w:hAnsi="Arial" w:cs="Arial"/>
        </w:rPr>
      </w:pPr>
      <w:r>
        <w:rPr>
          <w:rFonts w:ascii="Arial" w:hAnsi="Arial"/>
          <w:b/>
        </w:rPr>
        <w:t>Zalety w skrócie:</w:t>
      </w:r>
    </w:p>
    <w:p w14:paraId="537BA438" w14:textId="1D365BC4" w:rsidR="007639FE" w:rsidRDefault="005061DC" w:rsidP="005061DC">
      <w:pPr>
        <w:spacing w:after="120" w:line="360" w:lineRule="auto"/>
        <w:ind w:left="567" w:right="1695"/>
        <w:rPr>
          <w:rFonts w:ascii="Arial" w:hAnsi="Arial" w:cs="Arial"/>
          <w:bCs/>
        </w:rPr>
      </w:pPr>
      <w:r>
        <w:rPr>
          <w:rFonts w:ascii="Arial" w:hAnsi="Arial"/>
        </w:rPr>
        <w:t>• Dobre właściwości toczenia dzięki średnicy wału wynoszącej 580 mm</w:t>
      </w:r>
      <w:r>
        <w:rPr>
          <w:rFonts w:ascii="Arial" w:hAnsi="Arial"/>
        </w:rPr>
        <w:br/>
        <w:t>• Wysoka nośność dzięki dwóm korpusom wału i stabilnym pierścieniom sprężynowym</w:t>
      </w:r>
      <w:r>
        <w:rPr>
          <w:rFonts w:ascii="Arial" w:hAnsi="Arial"/>
        </w:rPr>
        <w:br/>
        <w:t>• Nadaje się do różnych rodzajów podłoża – od piaszczystego po gliniaste</w:t>
      </w:r>
      <w:r>
        <w:rPr>
          <w:rFonts w:ascii="Arial" w:hAnsi="Arial"/>
        </w:rPr>
        <w:br/>
        <w:t xml:space="preserve">• Głębokie zagęszczanie przy jednoczesnym utrzymaniu luźnej powierzchni </w:t>
      </w:r>
      <w:r>
        <w:rPr>
          <w:rFonts w:ascii="Arial" w:hAnsi="Arial"/>
        </w:rPr>
        <w:br/>
        <w:t>• Bardzo dobre rozdrobnienie gleby i bardzo dobre samoczyszczenie dzięki pierścieniom o stałej sprężystości</w:t>
      </w:r>
    </w:p>
    <w:p w14:paraId="4957DACD" w14:textId="77777777" w:rsidR="007639FE" w:rsidRDefault="007639FE" w:rsidP="007639FE">
      <w:pPr>
        <w:spacing w:after="120" w:line="360" w:lineRule="auto"/>
        <w:ind w:left="567" w:right="1695"/>
        <w:rPr>
          <w:rFonts w:ascii="Arial" w:hAnsi="Arial" w:cs="Arial"/>
          <w:bCs/>
        </w:rPr>
      </w:pPr>
    </w:p>
    <w:p w14:paraId="4A71B7E0" w14:textId="5D2367B3" w:rsidR="007639FE" w:rsidRDefault="00C44956" w:rsidP="007639FE">
      <w:pPr>
        <w:spacing w:after="120" w:line="360" w:lineRule="auto"/>
        <w:ind w:left="567" w:right="1695"/>
        <w:rPr>
          <w:rFonts w:ascii="Arial" w:hAnsi="Arial" w:cs="Arial"/>
          <w:bCs/>
        </w:rPr>
      </w:pPr>
      <w:r>
        <w:rPr>
          <w:rFonts w:ascii="Arial" w:hAnsi="Arial"/>
          <w:noProof/>
        </w:rPr>
        <w:drawing>
          <wp:inline distT="0" distB="0" distL="0" distR="0" wp14:anchorId="70150CED" wp14:editId="09980BB3">
            <wp:extent cx="5486400" cy="3657600"/>
            <wp:effectExtent l="0" t="0" r="0" b="0"/>
            <wp:docPr id="16179581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2D305224" w14:textId="77777777" w:rsidR="00963D4E" w:rsidRDefault="00963D4E" w:rsidP="00963D4E">
      <w:pPr>
        <w:spacing w:after="120" w:line="360" w:lineRule="auto"/>
        <w:ind w:left="567" w:right="1695"/>
        <w:rPr>
          <w:rFonts w:ascii="Arial" w:hAnsi="Arial" w:cs="Arial"/>
          <w:bCs/>
        </w:rPr>
      </w:pPr>
      <w:r>
        <w:rPr>
          <w:rStyle w:val="Fett"/>
          <w:rFonts w:asciiTheme="minorHAnsi" w:eastAsiaTheme="majorEastAsia" w:hAnsiTheme="minorHAnsi" w:cstheme="minorHAnsi"/>
          <w:noProof/>
          <w:sz w:val="28"/>
          <w:szCs w:val="28"/>
        </w:rPr>
        <w:lastRenderedPageBreak/>
        <w:drawing>
          <wp:inline distT="0" distB="0" distL="0" distR="0" wp14:anchorId="3E387647" wp14:editId="171E508C">
            <wp:extent cx="4572000" cy="3362325"/>
            <wp:effectExtent l="0" t="0" r="0" b="9525"/>
            <wp:docPr id="491630877"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62325"/>
                    </a:xfrm>
                    <a:prstGeom prst="rect">
                      <a:avLst/>
                    </a:prstGeom>
                    <a:noFill/>
                    <a:ln>
                      <a:noFill/>
                    </a:ln>
                  </pic:spPr>
                </pic:pic>
              </a:graphicData>
            </a:graphic>
          </wp:inline>
        </w:drawing>
      </w:r>
    </w:p>
    <w:p w14:paraId="31CC08FE" w14:textId="6CBA7098" w:rsidR="00963D4E" w:rsidRDefault="00963D4E" w:rsidP="00963D4E">
      <w:pPr>
        <w:spacing w:after="120" w:line="360" w:lineRule="auto"/>
        <w:ind w:left="567" w:right="1695"/>
        <w:rPr>
          <w:rFonts w:ascii="Arial" w:hAnsi="Arial" w:cs="Arial"/>
          <w:bCs/>
        </w:rPr>
      </w:pPr>
    </w:p>
    <w:p w14:paraId="7B81D0E9" w14:textId="77777777" w:rsidR="00963D4E" w:rsidRDefault="00963D4E" w:rsidP="00963D4E">
      <w:pPr>
        <w:spacing w:after="120" w:line="360" w:lineRule="auto"/>
        <w:ind w:left="567" w:right="1695"/>
        <w:rPr>
          <w:rFonts w:ascii="Arial" w:hAnsi="Arial" w:cs="Arial"/>
          <w:bCs/>
        </w:rPr>
      </w:pPr>
      <w:r>
        <w:rPr>
          <w:rFonts w:ascii="Arial" w:hAnsi="Arial" w:cs="Arial"/>
          <w:bCs/>
          <w:noProof/>
        </w:rPr>
        <w:drawing>
          <wp:inline distT="0" distB="0" distL="0" distR="0" wp14:anchorId="0104BAAB" wp14:editId="2D79E141">
            <wp:extent cx="4572000" cy="3436620"/>
            <wp:effectExtent l="0" t="0" r="0" b="0"/>
            <wp:docPr id="140767410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36620"/>
                    </a:xfrm>
                    <a:prstGeom prst="rect">
                      <a:avLst/>
                    </a:prstGeom>
                    <a:noFill/>
                    <a:ln>
                      <a:noFill/>
                    </a:ln>
                  </pic:spPr>
                </pic:pic>
              </a:graphicData>
            </a:graphic>
          </wp:inline>
        </w:drawing>
      </w:r>
    </w:p>
    <w:p w14:paraId="7098AB72" w14:textId="77777777" w:rsidR="00C44956" w:rsidRDefault="00C44956" w:rsidP="007639FE">
      <w:pPr>
        <w:spacing w:after="120" w:line="360" w:lineRule="auto"/>
        <w:ind w:left="567" w:right="1695"/>
        <w:rPr>
          <w:rFonts w:ascii="Arial" w:hAnsi="Arial" w:cs="Arial"/>
          <w:bCs/>
        </w:rPr>
      </w:pPr>
    </w:p>
    <w:p w14:paraId="07A7D835" w14:textId="77777777" w:rsidR="004A4E71" w:rsidRDefault="004A4E71">
      <w:pPr>
        <w:rPr>
          <w:rFonts w:ascii="Arial" w:hAnsi="Arial" w:cs="Arial"/>
          <w:bCs/>
        </w:rPr>
      </w:pPr>
      <w:r>
        <w:br w:type="page"/>
      </w:r>
    </w:p>
    <w:p w14:paraId="4D1E15D6"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Ilustracje, treść i dane techniczne są niezobowiązujące i mogą odbiegać od rzeczywistego wyposażenia. Stosuj się do obowiązujących na terenie danego kraju przepisów drogowych, włącznie z koniecznością uzyskania odpowiedniego zezwolenia. Należy sprawdzić dopuszczalne obciążenia osi i masę całkowitą maszyny. Niektóre z podanych możliwości konfiguracji nie są dostępne dla wszystkich ciągników.</w:t>
      </w:r>
    </w:p>
    <w:p w14:paraId="16388F82"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12E61CC3"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14:paraId="20EA109A" w14:textId="5BDE25CB"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Ta prowadzona przez właścicieli firma zatrudnia około 2700 osób w 8 zakładach produkcyjnych, centralnym magazynie części Global Parts Center i centrum maszyn używanych Global Machinery Center oraz 11 firmach dystrybucyjnych. Asortyment maszyn rolniczych obejmuje urządzenia do uprawy gleby, siewniki, rozsiewacze nawozów, opryskiwacze polowe i pielniki. Z uwagi na swoje doświadczenie firma AMAZONE jest dziś specjalistą w zakresie „inteligentnej uprawy roślin”. AMAZONE oferuje również wszechstronne maszyny komunalne do pielęgnacji parków i terenów zielonych oraz do zimowego utrzymania dróg. Więcej informacji: </w:t>
      </w:r>
      <w:hyperlink r:id="rId11" w:history="1">
        <w:r w:rsidR="00963D4E" w:rsidRPr="00B4246B">
          <w:rPr>
            <w:rStyle w:val="Hyperlink"/>
            <w:rFonts w:ascii="Arial" w:hAnsi="Arial"/>
            <w:sz w:val="20"/>
          </w:rPr>
          <w:t>www.amazone.pl</w:t>
        </w:r>
      </w:hyperlink>
    </w:p>
    <w:p w14:paraId="4E8B9A6B"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5CAFD6B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606F9" w14:textId="77777777" w:rsidR="004C01C4" w:rsidRDefault="004C01C4">
      <w:r>
        <w:separator/>
      </w:r>
    </w:p>
  </w:endnote>
  <w:endnote w:type="continuationSeparator" w:id="0">
    <w:p w14:paraId="2BB5B70E" w14:textId="77777777" w:rsidR="004C01C4" w:rsidRDefault="004C0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E547"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98294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20F7A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75B6CD6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75B6CD6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8A6FE" w14:textId="77777777" w:rsidR="004C01C4" w:rsidRDefault="004C01C4">
      <w:r>
        <w:separator/>
      </w:r>
    </w:p>
  </w:footnote>
  <w:footnote w:type="continuationSeparator" w:id="0">
    <w:p w14:paraId="3FC6EC39" w14:textId="77777777" w:rsidR="004C01C4" w:rsidRDefault="004C0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AEA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665D8F" w14:textId="23CE50ED" w:rsidR="004A4E71" w:rsidRPr="00E00637" w:rsidRDefault="004A4E71" w:rsidP="00E00637">
                          <w:pPr>
                            <w:pStyle w:val="StandardWeb"/>
                            <w:spacing w:after="0" w:afterAutospacing="0"/>
                            <w:jc w:val="right"/>
                            <w:rPr>
                              <w:rFonts w:ascii="Arial" w:hAnsi="Arial"/>
                              <w:color w:val="FFFFFF" w:themeColor="background1"/>
                              <w:sz w:val="28"/>
                              <w:lang w:val="de-DE"/>
                            </w:rPr>
                          </w:pPr>
                          <w:r>
                            <w:rPr>
                              <w:rFonts w:ascii="Arial" w:hAnsi="Arial"/>
                              <w:color w:val="FFFFFF" w:themeColor="background1"/>
                              <w:sz w:val="28"/>
                            </w:rPr>
                            <w:t xml:space="preserve">Komunikat prasowy – </w:t>
                          </w:r>
                          <w:proofErr w:type="spellStart"/>
                          <w:r w:rsidR="00E00637" w:rsidRPr="00E00637">
                            <w:rPr>
                              <w:rFonts w:ascii="Arial" w:hAnsi="Arial"/>
                              <w:color w:val="FFFFFF" w:themeColor="background1"/>
                              <w:sz w:val="28"/>
                              <w:lang w:val="de-DE"/>
                            </w:rPr>
                            <w:t>lipiec</w:t>
                          </w:r>
                          <w:proofErr w:type="spellEnd"/>
                          <w:r w:rsidR="00E00637">
                            <w:rPr>
                              <w:rFonts w:ascii="Arial" w:hAnsi="Arial"/>
                              <w:color w:val="FFFFFF" w:themeColor="background1"/>
                              <w:sz w:val="28"/>
                              <w:lang w:val="de-DE"/>
                            </w:rPr>
                            <w:t xml:space="preserve"> </w:t>
                          </w:r>
                          <w:r>
                            <w:rPr>
                              <w:rFonts w:ascii="Arial" w:hAnsi="Arial"/>
                              <w:color w:val="FFFFFF" w:themeColor="background1"/>
                              <w:sz w:val="28"/>
                            </w:rPr>
                            <w:t>2026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665D8F" w14:textId="23CE50ED" w:rsidR="004A4E71" w:rsidRPr="00E00637" w:rsidRDefault="004A4E71" w:rsidP="00E00637">
                    <w:pPr>
                      <w:pStyle w:val="StandardWeb"/>
                      <w:spacing w:after="0" w:afterAutospacing="0"/>
                      <w:jc w:val="right"/>
                      <w:rPr>
                        <w:rFonts w:ascii="Arial" w:hAnsi="Arial"/>
                        <w:color w:val="FFFFFF" w:themeColor="background1"/>
                        <w:sz w:val="28"/>
                        <w:lang w:val="de-DE"/>
                      </w:rPr>
                    </w:pPr>
                    <w:r>
                      <w:rPr>
                        <w:rFonts w:ascii="Arial" w:hAnsi="Arial"/>
                        <w:color w:val="FFFFFF" w:themeColor="background1"/>
                        <w:sz w:val="28"/>
                      </w:rPr>
                      <w:t xml:space="preserve">Komunikat prasowy – </w:t>
                    </w:r>
                    <w:proofErr w:type="spellStart"/>
                    <w:r w:rsidR="00E00637" w:rsidRPr="00E00637">
                      <w:rPr>
                        <w:rFonts w:ascii="Arial" w:hAnsi="Arial"/>
                        <w:color w:val="FFFFFF" w:themeColor="background1"/>
                        <w:sz w:val="28"/>
                        <w:lang w:val="de-DE"/>
                      </w:rPr>
                      <w:t>lipiec</w:t>
                    </w:r>
                    <w:proofErr w:type="spellEnd"/>
                    <w:r w:rsidR="00E00637">
                      <w:rPr>
                        <w:rFonts w:ascii="Arial" w:hAnsi="Arial"/>
                        <w:color w:val="FFFFFF" w:themeColor="background1"/>
                        <w:sz w:val="28"/>
                        <w:lang w:val="de-DE"/>
                      </w:rPr>
                      <w:t xml:space="preserve"> </w:t>
                    </w:r>
                    <w:r>
                      <w:rPr>
                        <w:rFonts w:ascii="Arial" w:hAnsi="Arial"/>
                        <w:color w:val="FFFFFF" w:themeColor="background1"/>
                        <w:sz w:val="28"/>
                      </w:rPr>
                      <w:t>2026 r.</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39C14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C70C02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DC"/>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AEA"/>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060"/>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C06"/>
    <w:rsid w:val="00185E00"/>
    <w:rsid w:val="00187777"/>
    <w:rsid w:val="00187DF2"/>
    <w:rsid w:val="001926C2"/>
    <w:rsid w:val="00194AE4"/>
    <w:rsid w:val="0019571A"/>
    <w:rsid w:val="001A0746"/>
    <w:rsid w:val="001A09C4"/>
    <w:rsid w:val="001A35CD"/>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28"/>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A6A0F"/>
    <w:rsid w:val="003B05A5"/>
    <w:rsid w:val="003B1CDE"/>
    <w:rsid w:val="003B4998"/>
    <w:rsid w:val="003B4C18"/>
    <w:rsid w:val="003B6008"/>
    <w:rsid w:val="003C0AFD"/>
    <w:rsid w:val="003C18DD"/>
    <w:rsid w:val="003C19B9"/>
    <w:rsid w:val="003C23E8"/>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01C4"/>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061DC"/>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5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548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5EA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3039"/>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1BF0"/>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3D4E"/>
    <w:rsid w:val="00964E5C"/>
    <w:rsid w:val="009675BD"/>
    <w:rsid w:val="00970890"/>
    <w:rsid w:val="009725D6"/>
    <w:rsid w:val="00972808"/>
    <w:rsid w:val="00974341"/>
    <w:rsid w:val="00974FF7"/>
    <w:rsid w:val="00975FA5"/>
    <w:rsid w:val="00982DD1"/>
    <w:rsid w:val="0098571E"/>
    <w:rsid w:val="00986F49"/>
    <w:rsid w:val="00991C50"/>
    <w:rsid w:val="00991D62"/>
    <w:rsid w:val="009924FD"/>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5078"/>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089A"/>
    <w:rsid w:val="00BD1CB0"/>
    <w:rsid w:val="00BD1F5D"/>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88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956"/>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5927"/>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0637"/>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C13"/>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4086"/>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90D"/>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61B49197"/>
  <w15:docId w15:val="{5980835A-2020-4E76-AFEE-54277B7F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963D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pl"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4</Pages>
  <Words>448</Words>
  <Characters>3072</Characters>
  <Application>Microsoft Office Word</Application>
  <DocSecurity>0</DocSecurity>
  <Lines>65</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komunikatu prasowego</dc:title>
  <dc:subject/>
  <dc:creator>Berelsmann Nadine</dc:creator>
  <cp:keywords/>
  <dc:description/>
  <cp:lastModifiedBy>Berelsmann Nadine</cp:lastModifiedBy>
  <cp:revision>7</cp:revision>
  <cp:lastPrinted>2010-02-24T09:10:00Z</cp:lastPrinted>
  <dcterms:created xsi:type="dcterms:W3CDTF">2026-06-09T08:25:00Z</dcterms:created>
  <dcterms:modified xsi:type="dcterms:W3CDTF">2026-07-02T10:38:00Z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